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30EA" w14:textId="2D7C999B" w:rsidR="00020FE9" w:rsidRDefault="00020FE9" w:rsidP="00D13D1F">
      <w:pPr>
        <w:ind w:right="-810"/>
      </w:pPr>
    </w:p>
    <w:p w14:paraId="201D9E36" w14:textId="2B4B3B5C" w:rsidR="00220604" w:rsidRDefault="00220604" w:rsidP="00D13D1F">
      <w:pPr>
        <w:ind w:right="-810"/>
      </w:pPr>
    </w:p>
    <w:p w14:paraId="68510A77" w14:textId="51FCD019" w:rsidR="0006107F" w:rsidRDefault="0006107F" w:rsidP="00D13D1F">
      <w:pPr>
        <w:ind w:right="-810"/>
      </w:pPr>
    </w:p>
    <w:p w14:paraId="06B6A95F" w14:textId="4D179C48" w:rsidR="00D62FDB" w:rsidRPr="00D62FDB" w:rsidRDefault="00D62FDB" w:rsidP="00D62FDB">
      <w:pPr>
        <w:ind w:right="-810"/>
        <w:jc w:val="center"/>
        <w:rPr>
          <w:b/>
          <w:bCs/>
        </w:rPr>
      </w:pPr>
      <w:r w:rsidRPr="00D62FDB">
        <w:rPr>
          <w:b/>
          <w:bCs/>
        </w:rPr>
        <w:t>Kodak Alaris Group Tax Strategy</w:t>
      </w:r>
    </w:p>
    <w:p w14:paraId="4E3AE09C" w14:textId="77777777" w:rsidR="00D62FDB" w:rsidRDefault="00D62FDB" w:rsidP="00D13D1F">
      <w:pPr>
        <w:ind w:right="-810"/>
      </w:pPr>
    </w:p>
    <w:p w14:paraId="6AC83402" w14:textId="12316F4A" w:rsidR="00876E87" w:rsidRDefault="009D3AFB" w:rsidP="00D13D1F">
      <w:pPr>
        <w:ind w:right="-810"/>
      </w:pPr>
      <w:r>
        <w:t xml:space="preserve">The Kodak Alaris </w:t>
      </w:r>
      <w:r w:rsidRPr="00193E2C">
        <w:rPr>
          <w:color w:val="000000" w:themeColor="text1"/>
        </w:rPr>
        <w:t>Group</w:t>
      </w:r>
      <w:r w:rsidR="00562E18" w:rsidRPr="00193E2C">
        <w:rPr>
          <w:color w:val="000000" w:themeColor="text1"/>
        </w:rPr>
        <w:t xml:space="preserve">’s tax mission is </w:t>
      </w:r>
      <w:r>
        <w:t xml:space="preserve">to be tax compliant in all jurisdictions in which it does business.  This is </w:t>
      </w:r>
      <w:r w:rsidR="00D828D6">
        <w:t>aligned with</w:t>
      </w:r>
      <w:r>
        <w:t xml:space="preserve"> the Kodak Alaris Compliance and Ethics </w:t>
      </w:r>
      <w:r w:rsidR="00D828D6">
        <w:t>P</w:t>
      </w:r>
      <w:r>
        <w:t>rogramme</w:t>
      </w:r>
      <w:r w:rsidR="00D62FDB">
        <w:t>,</w:t>
      </w:r>
      <w:r>
        <w:t xml:space="preserve"> which provides standards by which company employees and agents perform their responsibilities to protect and promote the Group’s values.</w:t>
      </w:r>
    </w:p>
    <w:p w14:paraId="56A5B8C0" w14:textId="76B8AE0B" w:rsidR="00D62FDB" w:rsidRDefault="00D62FDB" w:rsidP="00D13D1F">
      <w:pPr>
        <w:ind w:right="-810"/>
      </w:pPr>
    </w:p>
    <w:p w14:paraId="25F9E38B" w14:textId="33541D2C" w:rsidR="00423222" w:rsidRDefault="00423222" w:rsidP="00D13D1F">
      <w:pPr>
        <w:ind w:right="-810"/>
      </w:pPr>
      <w:r>
        <w:t>The Group’s Business Conduct Guide</w:t>
      </w:r>
      <w:r w:rsidR="00BB7FC0">
        <w:t>,</w:t>
      </w:r>
      <w:r>
        <w:t xml:space="preserve"> which underpins this </w:t>
      </w:r>
      <w:r w:rsidR="00D828D6">
        <w:t>P</w:t>
      </w:r>
      <w:r>
        <w:t>rogramme</w:t>
      </w:r>
      <w:r w:rsidR="00BB7FC0">
        <w:t>,</w:t>
      </w:r>
      <w:r>
        <w:t xml:space="preserve"> is applicable to all employees, covering areas such as </w:t>
      </w:r>
      <w:r w:rsidR="00E657D6">
        <w:t>accounting and reporting integrity</w:t>
      </w:r>
      <w:r w:rsidR="00983D90">
        <w:t>,</w:t>
      </w:r>
      <w:r w:rsidR="00E657D6">
        <w:t xml:space="preserve"> fair and ethical behaviour</w:t>
      </w:r>
      <w:r w:rsidR="00983D90">
        <w:t>, reputation management, and sustainable operation</w:t>
      </w:r>
      <w:r w:rsidR="00E657D6">
        <w:t>.  Supporting this are our key company values</w:t>
      </w:r>
      <w:r w:rsidR="008807D0">
        <w:t xml:space="preserve">: Innovation, Accountability, </w:t>
      </w:r>
      <w:r w:rsidR="00DA1024">
        <w:t xml:space="preserve">Customer satisfaction and Teamwork.  All these </w:t>
      </w:r>
      <w:r w:rsidR="00DA1024" w:rsidRPr="00193E2C">
        <w:rPr>
          <w:color w:val="000000" w:themeColor="text1"/>
        </w:rPr>
        <w:t>values</w:t>
      </w:r>
      <w:r w:rsidR="00562E18" w:rsidRPr="00193E2C">
        <w:rPr>
          <w:color w:val="000000" w:themeColor="text1"/>
        </w:rPr>
        <w:t>, as set out below,</w:t>
      </w:r>
      <w:r w:rsidR="00DA1024" w:rsidRPr="00193E2C">
        <w:rPr>
          <w:color w:val="000000" w:themeColor="text1"/>
        </w:rPr>
        <w:t xml:space="preserve"> </w:t>
      </w:r>
      <w:r w:rsidR="00E657D6" w:rsidRPr="00193E2C">
        <w:rPr>
          <w:color w:val="000000" w:themeColor="text1"/>
        </w:rPr>
        <w:t xml:space="preserve">are </w:t>
      </w:r>
      <w:r w:rsidR="00E657D6">
        <w:t>embedded in the culture that flows throughout the Group and so are equally relevant to our attitude to tax management and governance.</w:t>
      </w:r>
    </w:p>
    <w:p w14:paraId="56FCF1DC" w14:textId="40D77AEF" w:rsidR="00E657D6" w:rsidRDefault="00E657D6" w:rsidP="00D13D1F">
      <w:pPr>
        <w:ind w:right="-810"/>
      </w:pPr>
    </w:p>
    <w:p w14:paraId="2593FFE3" w14:textId="35BE28F8" w:rsidR="00E657D6" w:rsidRDefault="00E657D6" w:rsidP="00D13D1F">
      <w:pPr>
        <w:ind w:right="-810"/>
        <w:rPr>
          <w:b/>
          <w:bCs/>
        </w:rPr>
      </w:pPr>
      <w:r w:rsidRPr="008807D0">
        <w:rPr>
          <w:b/>
          <w:bCs/>
        </w:rPr>
        <w:t xml:space="preserve">Innovation: </w:t>
      </w:r>
      <w:r w:rsidR="00BB7FC0">
        <w:rPr>
          <w:b/>
          <w:bCs/>
        </w:rPr>
        <w:t>As the core of Kodak Alaris as a technology company.</w:t>
      </w:r>
    </w:p>
    <w:p w14:paraId="19E0D840" w14:textId="61D4C426" w:rsidR="008807D0" w:rsidRDefault="008807D0" w:rsidP="00D13D1F">
      <w:pPr>
        <w:ind w:right="-810"/>
        <w:rPr>
          <w:b/>
          <w:bCs/>
        </w:rPr>
      </w:pPr>
    </w:p>
    <w:p w14:paraId="3A75C8C9" w14:textId="5A8667F0" w:rsidR="008807D0" w:rsidRDefault="008807D0" w:rsidP="008807D0">
      <w:pPr>
        <w:pStyle w:val="ListParagraph"/>
        <w:numPr>
          <w:ilvl w:val="0"/>
          <w:numId w:val="1"/>
        </w:numPr>
        <w:ind w:right="-810"/>
      </w:pPr>
      <w:r w:rsidRPr="008807D0">
        <w:t>We train and support our staff within the Group’s tax function to ensure that their development needs are met and that they remain energised and inspired in their roles.</w:t>
      </w:r>
    </w:p>
    <w:p w14:paraId="714E49E3" w14:textId="097F48E1" w:rsidR="00DA1024" w:rsidRDefault="00DA1024" w:rsidP="00DA1024">
      <w:pPr>
        <w:ind w:right="-810"/>
      </w:pPr>
    </w:p>
    <w:p w14:paraId="0738A80E" w14:textId="2393CD73" w:rsidR="00DA1024" w:rsidRDefault="00DA1024" w:rsidP="00DA1024">
      <w:pPr>
        <w:ind w:right="-810"/>
      </w:pPr>
    </w:p>
    <w:p w14:paraId="60C882B9" w14:textId="006A9D25" w:rsidR="00DA1024" w:rsidRDefault="00DA1024" w:rsidP="00DA1024">
      <w:pPr>
        <w:ind w:right="-810"/>
        <w:rPr>
          <w:b/>
          <w:bCs/>
        </w:rPr>
      </w:pPr>
      <w:r w:rsidRPr="00DA1024">
        <w:rPr>
          <w:b/>
          <w:bCs/>
        </w:rPr>
        <w:t>Accountability: To deliver on our commitments</w:t>
      </w:r>
      <w:r w:rsidR="0054324C">
        <w:rPr>
          <w:b/>
          <w:bCs/>
        </w:rPr>
        <w:t>.</w:t>
      </w:r>
    </w:p>
    <w:p w14:paraId="1ED6D3D4" w14:textId="77777777" w:rsidR="00DA1024" w:rsidRPr="00DA1024" w:rsidRDefault="00DA1024" w:rsidP="00DA1024">
      <w:pPr>
        <w:ind w:right="-810"/>
        <w:rPr>
          <w:b/>
          <w:bCs/>
        </w:rPr>
      </w:pPr>
    </w:p>
    <w:p w14:paraId="39DBB5A1" w14:textId="411BFB9F" w:rsidR="00E14369" w:rsidRPr="00193E2C" w:rsidRDefault="00193E2C" w:rsidP="00E14369">
      <w:pPr>
        <w:pStyle w:val="ListParagraph"/>
        <w:numPr>
          <w:ilvl w:val="0"/>
          <w:numId w:val="1"/>
        </w:numPr>
        <w:rPr>
          <w:color w:val="000000" w:themeColor="text1"/>
        </w:rPr>
      </w:pPr>
      <w:r w:rsidRPr="00193E2C">
        <w:rPr>
          <w:color w:val="000000" w:themeColor="text1"/>
        </w:rPr>
        <w:t xml:space="preserve">Our risk management framework is designed to identify, evaluate, </w:t>
      </w:r>
      <w:proofErr w:type="gramStart"/>
      <w:r w:rsidRPr="00193E2C">
        <w:rPr>
          <w:color w:val="000000" w:themeColor="text1"/>
        </w:rPr>
        <w:t>mitigate</w:t>
      </w:r>
      <w:proofErr w:type="gramEnd"/>
      <w:r w:rsidRPr="00193E2C">
        <w:rPr>
          <w:color w:val="000000" w:themeColor="text1"/>
        </w:rPr>
        <w:t xml:space="preserve"> and monitor the risks we face as a business.  Governance of this framework is monitored by the Risk Committee, which comprises the members of the Kodak Alaris Executive Committee and a mix of senior management specialists.</w:t>
      </w:r>
      <w:r w:rsidR="00CF1518">
        <w:rPr>
          <w:color w:val="000000" w:themeColor="text1"/>
        </w:rPr>
        <w:t xml:space="preserve">  Overall ownership of the Group’s risk management strategy belongs to the Audit &amp; Risk Committee, and ultimately the Board of Directors, both of which receive regular risk management updates during each year.</w:t>
      </w:r>
    </w:p>
    <w:p w14:paraId="485E690E" w14:textId="77777777" w:rsidR="00E03F63" w:rsidRPr="00193E2C" w:rsidRDefault="00E03F63" w:rsidP="00E03F63">
      <w:pPr>
        <w:pStyle w:val="ListParagraph"/>
        <w:rPr>
          <w:color w:val="000000" w:themeColor="text1"/>
        </w:rPr>
      </w:pPr>
    </w:p>
    <w:p w14:paraId="609E8C6C" w14:textId="1720EC57" w:rsidR="00E03F63" w:rsidRPr="00193E2C" w:rsidRDefault="00E03F63" w:rsidP="00E03F63">
      <w:pPr>
        <w:pStyle w:val="ListParagraph"/>
        <w:numPr>
          <w:ilvl w:val="0"/>
          <w:numId w:val="1"/>
        </w:numPr>
        <w:rPr>
          <w:color w:val="000000" w:themeColor="text1"/>
        </w:rPr>
      </w:pPr>
      <w:r w:rsidRPr="00193E2C">
        <w:rPr>
          <w:color w:val="000000" w:themeColor="text1"/>
        </w:rPr>
        <w:t>We aim to ensure that we meet our tax compliance obligations in each jurisdiction where our business operates, and that appropriate processes and procedures are in place to meet those obligations.</w:t>
      </w:r>
    </w:p>
    <w:p w14:paraId="2325290D" w14:textId="7B96B06B" w:rsidR="00E14369" w:rsidRPr="00E14369" w:rsidRDefault="00E14369" w:rsidP="00E14369">
      <w:pPr>
        <w:pStyle w:val="ListParagraph"/>
        <w:ind w:right="-810"/>
        <w:rPr>
          <w:color w:val="FF0000"/>
        </w:rPr>
      </w:pPr>
    </w:p>
    <w:p w14:paraId="5AF36CB6" w14:textId="1F712E30" w:rsidR="00764A56" w:rsidRDefault="00764A56" w:rsidP="00DA1024">
      <w:pPr>
        <w:pStyle w:val="ListParagraph"/>
        <w:numPr>
          <w:ilvl w:val="0"/>
          <w:numId w:val="1"/>
        </w:numPr>
        <w:ind w:right="-810"/>
      </w:pPr>
      <w:r>
        <w:t>Our policy is for transactions between Kodak Alaris group companies to be conducted on an arm’s length basis and in accordance with current OECD guidelines.</w:t>
      </w:r>
    </w:p>
    <w:p w14:paraId="0610E87A" w14:textId="77777777" w:rsidR="00DA1024" w:rsidRDefault="00DA1024" w:rsidP="00DA1024">
      <w:pPr>
        <w:ind w:right="-810"/>
      </w:pPr>
    </w:p>
    <w:p w14:paraId="053ADFEB" w14:textId="4B0CE569" w:rsidR="00DA1024" w:rsidRDefault="00DA1024" w:rsidP="00DA1024">
      <w:pPr>
        <w:ind w:right="-810"/>
        <w:rPr>
          <w:b/>
          <w:bCs/>
        </w:rPr>
      </w:pPr>
      <w:r w:rsidRPr="00DA1024">
        <w:rPr>
          <w:b/>
          <w:bCs/>
        </w:rPr>
        <w:t>Customer: satisfaction in all aspects of our business</w:t>
      </w:r>
      <w:r w:rsidR="0054324C">
        <w:rPr>
          <w:b/>
          <w:bCs/>
        </w:rPr>
        <w:t>.</w:t>
      </w:r>
    </w:p>
    <w:p w14:paraId="48C9CA81" w14:textId="77777777" w:rsidR="0054324C" w:rsidRPr="00DA1024" w:rsidRDefault="0054324C" w:rsidP="00DA1024">
      <w:pPr>
        <w:ind w:right="-810"/>
        <w:rPr>
          <w:b/>
          <w:bCs/>
        </w:rPr>
      </w:pPr>
    </w:p>
    <w:p w14:paraId="2D727C53" w14:textId="50450F89" w:rsidR="00562E18" w:rsidRPr="00193E2C" w:rsidRDefault="00DA1024" w:rsidP="00562E18">
      <w:pPr>
        <w:pStyle w:val="ListParagraph"/>
        <w:numPr>
          <w:ilvl w:val="0"/>
          <w:numId w:val="1"/>
        </w:numPr>
        <w:ind w:right="-810"/>
        <w:rPr>
          <w:color w:val="000000" w:themeColor="text1"/>
        </w:rPr>
      </w:pPr>
      <w:r w:rsidRPr="00193E2C">
        <w:rPr>
          <w:color w:val="000000" w:themeColor="text1"/>
        </w:rPr>
        <w:t>Our approach to tax management and tax planning supports our aim to be a trusted brand, protecting our reputation and our social lice</w:t>
      </w:r>
      <w:r w:rsidR="00764A56" w:rsidRPr="00193E2C">
        <w:rPr>
          <w:color w:val="000000" w:themeColor="text1"/>
        </w:rPr>
        <w:t>n</w:t>
      </w:r>
      <w:r w:rsidRPr="00193E2C">
        <w:rPr>
          <w:color w:val="000000" w:themeColor="text1"/>
        </w:rPr>
        <w:t>se to operate across the world.</w:t>
      </w:r>
      <w:r w:rsidR="00562E18" w:rsidRPr="00193E2C">
        <w:rPr>
          <w:color w:val="000000" w:themeColor="text1"/>
        </w:rPr>
        <w:t xml:space="preserve"> We manage tax to maximise value for our customers and shareholder. </w:t>
      </w:r>
      <w:r w:rsidR="00193E2C" w:rsidRPr="00193E2C">
        <w:rPr>
          <w:color w:val="000000" w:themeColor="text1"/>
        </w:rPr>
        <w:t xml:space="preserve"> </w:t>
      </w:r>
      <w:r w:rsidR="00562E18" w:rsidRPr="00193E2C">
        <w:rPr>
          <w:color w:val="000000" w:themeColor="text1"/>
        </w:rPr>
        <w:t>Tax planning supports the business and is reflective of its commercial and economic activity.  Further, we do not consider or enter into arrangements solely for the purposes of achieving a tax advantage.</w:t>
      </w:r>
    </w:p>
    <w:p w14:paraId="6D0B0EF7" w14:textId="3B119AF5" w:rsidR="00DA1024" w:rsidRDefault="00764A56" w:rsidP="00562E18">
      <w:pPr>
        <w:pStyle w:val="ListParagraph"/>
        <w:ind w:right="-810"/>
      </w:pPr>
      <w:r>
        <w:lastRenderedPageBreak/>
        <w:br/>
      </w:r>
    </w:p>
    <w:p w14:paraId="58657C2A" w14:textId="0BEE290C" w:rsidR="00764A56" w:rsidRDefault="00764A56" w:rsidP="00DA1024">
      <w:pPr>
        <w:pStyle w:val="ListParagraph"/>
        <w:numPr>
          <w:ilvl w:val="0"/>
          <w:numId w:val="1"/>
        </w:numPr>
        <w:ind w:right="-810"/>
      </w:pPr>
      <w:r>
        <w:t>We do not tolerate the evasion of tax, or the deliberate facilitation of another’s tax evasion</w:t>
      </w:r>
      <w:r w:rsidR="0033431E">
        <w:t>,</w:t>
      </w:r>
      <w:r>
        <w:t xml:space="preserve"> whether carried out by an employee or a business partner acting for us or on our behalf.</w:t>
      </w:r>
    </w:p>
    <w:p w14:paraId="6B02CFC7" w14:textId="77777777" w:rsidR="00764A56" w:rsidRDefault="00764A56" w:rsidP="00764A56">
      <w:pPr>
        <w:pStyle w:val="ListParagraph"/>
        <w:ind w:right="-810"/>
      </w:pPr>
    </w:p>
    <w:p w14:paraId="554AE087" w14:textId="6809BE24" w:rsidR="00DA1024" w:rsidRDefault="00107B29" w:rsidP="00193E2C">
      <w:pPr>
        <w:pStyle w:val="ListParagraph"/>
        <w:numPr>
          <w:ilvl w:val="0"/>
          <w:numId w:val="1"/>
        </w:numPr>
        <w:ind w:right="-810"/>
      </w:pPr>
      <w:r w:rsidRPr="00193E2C">
        <w:rPr>
          <w:color w:val="000000" w:themeColor="text1"/>
        </w:rPr>
        <w:t xml:space="preserve">In accordance with the Group’s risk management framework, we </w:t>
      </w:r>
      <w:r w:rsidR="0054324C" w:rsidRPr="00193E2C">
        <w:rPr>
          <w:color w:val="000000" w:themeColor="text1"/>
        </w:rPr>
        <w:t xml:space="preserve">aim for significant certainty </w:t>
      </w:r>
      <w:r w:rsidR="00562E18" w:rsidRPr="00193E2C">
        <w:rPr>
          <w:color w:val="000000" w:themeColor="text1"/>
        </w:rPr>
        <w:t xml:space="preserve">in </w:t>
      </w:r>
      <w:r w:rsidR="0054324C" w:rsidRPr="00193E2C">
        <w:rPr>
          <w:color w:val="000000" w:themeColor="text1"/>
        </w:rPr>
        <w:t xml:space="preserve">the material tax positions </w:t>
      </w:r>
      <w:r w:rsidRPr="00193E2C">
        <w:rPr>
          <w:color w:val="000000" w:themeColor="text1"/>
        </w:rPr>
        <w:t xml:space="preserve">we </w:t>
      </w:r>
      <w:r w:rsidR="0054324C" w:rsidRPr="00193E2C">
        <w:rPr>
          <w:color w:val="000000" w:themeColor="text1"/>
        </w:rPr>
        <w:t>adopt</w:t>
      </w:r>
      <w:r w:rsidR="00193E2C" w:rsidRPr="00193E2C">
        <w:rPr>
          <w:color w:val="000000" w:themeColor="text1"/>
        </w:rPr>
        <w:t xml:space="preserve">. </w:t>
      </w:r>
      <w:r w:rsidR="00562E18" w:rsidRPr="00193E2C">
        <w:rPr>
          <w:color w:val="000000" w:themeColor="text1"/>
        </w:rPr>
        <w:t xml:space="preserve"> </w:t>
      </w:r>
      <w:r w:rsidR="001B11ED" w:rsidRPr="00193E2C">
        <w:rPr>
          <w:color w:val="000000" w:themeColor="text1"/>
        </w:rPr>
        <w:t xml:space="preserve">We are a business that operates in many countries, each of which has its own tax code and complexities.  Where there is significant uncertainty or complexity in relation </w:t>
      </w:r>
      <w:r w:rsidR="001B11ED">
        <w:t>to tax matters, we take appropriate professional advice and/or discuss the matter with the relevant tax authority.</w:t>
      </w:r>
      <w:r w:rsidR="006E6A4B">
        <w:t xml:space="preserve">  </w:t>
      </w:r>
    </w:p>
    <w:p w14:paraId="40FB3541" w14:textId="77777777" w:rsidR="00DA1024" w:rsidRDefault="00DA1024" w:rsidP="00DA1024">
      <w:pPr>
        <w:ind w:right="-810"/>
      </w:pPr>
    </w:p>
    <w:p w14:paraId="783D6D43" w14:textId="3C950C96" w:rsidR="00DA1024" w:rsidRPr="0054324C" w:rsidRDefault="00DA1024" w:rsidP="00DA1024">
      <w:pPr>
        <w:ind w:right="-810"/>
        <w:rPr>
          <w:b/>
          <w:bCs/>
        </w:rPr>
      </w:pPr>
      <w:r w:rsidRPr="0054324C">
        <w:rPr>
          <w:b/>
          <w:bCs/>
        </w:rPr>
        <w:t>Teamwork: in how we resolve issues and grow our portfolio</w:t>
      </w:r>
      <w:r w:rsidR="00764A56" w:rsidRPr="0054324C">
        <w:rPr>
          <w:b/>
          <w:bCs/>
        </w:rPr>
        <w:t>.</w:t>
      </w:r>
      <w:r w:rsidRPr="0054324C">
        <w:rPr>
          <w:b/>
          <w:bCs/>
        </w:rPr>
        <w:t xml:space="preserve"> </w:t>
      </w:r>
    </w:p>
    <w:p w14:paraId="2F21BE7A" w14:textId="77777777" w:rsidR="00764A56" w:rsidRDefault="00764A56" w:rsidP="00DA1024">
      <w:pPr>
        <w:ind w:right="-810"/>
      </w:pPr>
    </w:p>
    <w:p w14:paraId="539DBE85" w14:textId="729F0315" w:rsidR="00DA1024" w:rsidRDefault="00764A56" w:rsidP="00DA1024">
      <w:pPr>
        <w:pStyle w:val="ListParagraph"/>
        <w:numPr>
          <w:ilvl w:val="0"/>
          <w:numId w:val="1"/>
        </w:numPr>
        <w:ind w:right="-810"/>
      </w:pPr>
      <w:r>
        <w:t>We strive to build positive relationships with tax authorities, including HM Revenue and Customs, in the spirit of cooperative compliance.  The Group is committed to being open and honest in all dealing</w:t>
      </w:r>
      <w:r w:rsidR="00983D90">
        <w:t>s</w:t>
      </w:r>
      <w:r>
        <w:t xml:space="preserve"> with tax authorities.</w:t>
      </w:r>
      <w:r w:rsidR="000F314D">
        <w:br/>
      </w:r>
    </w:p>
    <w:p w14:paraId="43F6224D" w14:textId="7C66BDAC" w:rsidR="00764A56" w:rsidRDefault="00764A56" w:rsidP="00DA1024">
      <w:pPr>
        <w:pStyle w:val="ListParagraph"/>
        <w:numPr>
          <w:ilvl w:val="0"/>
          <w:numId w:val="1"/>
        </w:numPr>
        <w:ind w:right="-810"/>
      </w:pPr>
      <w:r>
        <w:t>We act with integrity in all tax matters: keeping our commitments and building trusted relationships based on honesty and fair dealing.</w:t>
      </w:r>
      <w:r w:rsidR="000F314D">
        <w:br/>
      </w:r>
    </w:p>
    <w:p w14:paraId="1993B119" w14:textId="4EBEC464" w:rsidR="000F314D" w:rsidRDefault="000F314D" w:rsidP="00DA1024">
      <w:pPr>
        <w:pStyle w:val="ListParagraph"/>
        <w:numPr>
          <w:ilvl w:val="0"/>
          <w:numId w:val="1"/>
        </w:numPr>
        <w:ind w:right="-810"/>
      </w:pPr>
      <w:r>
        <w:t>The Kodak Alaris tax function supports the business by providing tax input where required in both day-to-day operations as well as in material and significant commercial transactions.</w:t>
      </w:r>
      <w:r>
        <w:br/>
      </w:r>
    </w:p>
    <w:p w14:paraId="0FC2FFAB" w14:textId="37E5AC51" w:rsidR="000F314D" w:rsidRPr="008807D0" w:rsidRDefault="00595725" w:rsidP="00DA1024">
      <w:pPr>
        <w:pStyle w:val="ListParagraph"/>
        <w:numPr>
          <w:ilvl w:val="0"/>
          <w:numId w:val="1"/>
        </w:numPr>
        <w:ind w:right="-810"/>
      </w:pPr>
      <w:r w:rsidRPr="00193E2C">
        <w:rPr>
          <w:color w:val="000000" w:themeColor="text1"/>
        </w:rPr>
        <w:t>The</w:t>
      </w:r>
      <w:r w:rsidR="000F314D" w:rsidRPr="00193E2C">
        <w:rPr>
          <w:color w:val="000000" w:themeColor="text1"/>
        </w:rPr>
        <w:t xml:space="preserve"> Group’s </w:t>
      </w:r>
      <w:r w:rsidRPr="00193E2C">
        <w:rPr>
          <w:color w:val="000000" w:themeColor="text1"/>
        </w:rPr>
        <w:t>Chief Financial Officer</w:t>
      </w:r>
      <w:r w:rsidR="00E14369" w:rsidRPr="00193E2C">
        <w:rPr>
          <w:color w:val="000000" w:themeColor="text1"/>
        </w:rPr>
        <w:t xml:space="preserve"> </w:t>
      </w:r>
      <w:r w:rsidR="00E53475">
        <w:rPr>
          <w:color w:val="000000" w:themeColor="text1"/>
        </w:rPr>
        <w:t>who also serves as the</w:t>
      </w:r>
      <w:r w:rsidR="00E14369" w:rsidRPr="00193E2C">
        <w:rPr>
          <w:color w:val="000000" w:themeColor="text1"/>
        </w:rPr>
        <w:t xml:space="preserve"> Senior Accounting Officer</w:t>
      </w:r>
      <w:r w:rsidR="00E53475">
        <w:rPr>
          <w:color w:val="000000" w:themeColor="text1"/>
        </w:rPr>
        <w:t>,</w:t>
      </w:r>
      <w:r w:rsidR="00E14369" w:rsidRPr="00193E2C">
        <w:rPr>
          <w:color w:val="000000" w:themeColor="text1"/>
        </w:rPr>
        <w:t xml:space="preserve"> </w:t>
      </w:r>
      <w:r w:rsidR="000F314D" w:rsidRPr="00193E2C">
        <w:rPr>
          <w:color w:val="000000" w:themeColor="text1"/>
        </w:rPr>
        <w:t xml:space="preserve">is </w:t>
      </w:r>
      <w:r w:rsidR="000F314D">
        <w:t xml:space="preserve">responsible for the Group’s tax strategy.  Day to day management of our tax affairs is delegated to the Group’s </w:t>
      </w:r>
      <w:r w:rsidR="00193E2C">
        <w:t>Global Head of Tax</w:t>
      </w:r>
      <w:r w:rsidR="000F314D">
        <w:t xml:space="preserve">. The Group’s tax strategy is implemented by the Group’s tax team with assistance from the worldwide Finance organisation.  The Group’s tax status is reported regularly to the Audit Committee.   Ultimate responsibility for compliance with the strategy rests with the Board of Directors of Kodak Alaris Holdings Limited.  </w:t>
      </w:r>
    </w:p>
    <w:p w14:paraId="57FC2223" w14:textId="0EC7F514" w:rsidR="00876E87" w:rsidRDefault="00876E87" w:rsidP="00D13D1F">
      <w:pPr>
        <w:ind w:right="-810"/>
      </w:pPr>
    </w:p>
    <w:p w14:paraId="19E7E406" w14:textId="702389FA" w:rsidR="006E6A4B" w:rsidRDefault="006E6A4B" w:rsidP="00D13D1F">
      <w:pPr>
        <w:ind w:right="-810"/>
      </w:pPr>
    </w:p>
    <w:p w14:paraId="1E7126D2" w14:textId="77777777" w:rsidR="006E6A4B" w:rsidRDefault="006E6A4B" w:rsidP="00D13D1F">
      <w:pPr>
        <w:ind w:right="-810"/>
      </w:pPr>
    </w:p>
    <w:p w14:paraId="17A7C0CB" w14:textId="199BE5D1" w:rsidR="0054324C" w:rsidRDefault="0054324C" w:rsidP="00D13D1F">
      <w:pPr>
        <w:ind w:right="-810"/>
      </w:pPr>
    </w:p>
    <w:p w14:paraId="0E408022" w14:textId="77D90F40" w:rsidR="0054324C" w:rsidRDefault="0054324C" w:rsidP="0054324C">
      <w:pPr>
        <w:pBdr>
          <w:top w:val="single" w:sz="4" w:space="1" w:color="auto"/>
          <w:left w:val="single" w:sz="4" w:space="4" w:color="auto"/>
          <w:bottom w:val="single" w:sz="4" w:space="1" w:color="auto"/>
          <w:right w:val="single" w:sz="4" w:space="4" w:color="auto"/>
        </w:pBdr>
        <w:ind w:right="-810"/>
      </w:pPr>
      <w:r>
        <w:t xml:space="preserve">In compliance with </w:t>
      </w:r>
      <w:r w:rsidR="00F61FBB">
        <w:t xml:space="preserve">Schedule 19 </w:t>
      </w:r>
      <w:r>
        <w:t xml:space="preserve">s16 and s17 </w:t>
      </w:r>
      <w:r w:rsidR="00F61FBB">
        <w:t xml:space="preserve">of the </w:t>
      </w:r>
      <w:r>
        <w:t>F</w:t>
      </w:r>
      <w:r w:rsidR="00F61FBB">
        <w:t xml:space="preserve">inance </w:t>
      </w:r>
      <w:r>
        <w:t>A</w:t>
      </w:r>
      <w:r w:rsidR="00F61FBB">
        <w:t xml:space="preserve">ct </w:t>
      </w:r>
      <w:r>
        <w:t xml:space="preserve">2016, this Tax Strategy is prepared and published by Kodak Alaris Holdings Limited on behalf of itself and </w:t>
      </w:r>
      <w:r w:rsidR="00844438">
        <w:t>all</w:t>
      </w:r>
      <w:r>
        <w:t xml:space="preserve"> the UK entities in its group.</w:t>
      </w:r>
    </w:p>
    <w:p w14:paraId="5B8041EF" w14:textId="77777777" w:rsidR="0054324C" w:rsidRDefault="0054324C" w:rsidP="0054324C">
      <w:pPr>
        <w:pBdr>
          <w:top w:val="single" w:sz="4" w:space="1" w:color="auto"/>
          <w:left w:val="single" w:sz="4" w:space="4" w:color="auto"/>
          <w:bottom w:val="single" w:sz="4" w:space="1" w:color="auto"/>
          <w:right w:val="single" w:sz="4" w:space="4" w:color="auto"/>
        </w:pBdr>
        <w:ind w:right="-810"/>
      </w:pPr>
    </w:p>
    <w:p w14:paraId="626E66C2" w14:textId="4192B668" w:rsidR="0054324C" w:rsidRDefault="0054324C" w:rsidP="0054324C">
      <w:pPr>
        <w:pBdr>
          <w:top w:val="single" w:sz="4" w:space="1" w:color="auto"/>
          <w:left w:val="single" w:sz="4" w:space="4" w:color="auto"/>
          <w:bottom w:val="single" w:sz="4" w:space="1" w:color="auto"/>
          <w:right w:val="single" w:sz="4" w:space="4" w:color="auto"/>
        </w:pBdr>
        <w:ind w:right="-810"/>
      </w:pPr>
      <w:r>
        <w:t xml:space="preserve">This strategy relates to the year ended 31 March </w:t>
      </w:r>
      <w:r w:rsidRPr="00193E2C">
        <w:t>202</w:t>
      </w:r>
      <w:r w:rsidR="004E69D2">
        <w:t>2</w:t>
      </w:r>
      <w:r>
        <w:t xml:space="preserve"> and covers all UK taxes and duties set ou</w:t>
      </w:r>
      <w:r w:rsidR="00983D90">
        <w:t>t</w:t>
      </w:r>
      <w:r>
        <w:t xml:space="preserve"> in s15(1) Sch</w:t>
      </w:r>
      <w:r w:rsidR="00CF1518">
        <w:t>.</w:t>
      </w:r>
      <w:r>
        <w:t xml:space="preserve"> 19 FA2016, including but not limited to, income tax, corporation tax, value added tax, amounts for which the company is accountable for under PAYE regulations, stamp duty land tax, customs duties, and national insurance contributions.</w:t>
      </w:r>
    </w:p>
    <w:p w14:paraId="406900C2" w14:textId="77777777" w:rsidR="0054324C" w:rsidRDefault="0054324C" w:rsidP="0054324C">
      <w:pPr>
        <w:pBdr>
          <w:top w:val="single" w:sz="4" w:space="1" w:color="auto"/>
          <w:left w:val="single" w:sz="4" w:space="4" w:color="auto"/>
          <w:bottom w:val="single" w:sz="4" w:space="1" w:color="auto"/>
          <w:right w:val="single" w:sz="4" w:space="4" w:color="auto"/>
        </w:pBdr>
        <w:ind w:right="-810"/>
      </w:pPr>
    </w:p>
    <w:p w14:paraId="174EFBFA" w14:textId="011C9BD4" w:rsidR="0054324C" w:rsidRDefault="0054324C" w:rsidP="0054324C">
      <w:pPr>
        <w:pBdr>
          <w:top w:val="single" w:sz="4" w:space="1" w:color="auto"/>
          <w:left w:val="single" w:sz="4" w:space="4" w:color="auto"/>
          <w:bottom w:val="single" w:sz="4" w:space="1" w:color="auto"/>
          <w:right w:val="single" w:sz="4" w:space="4" w:color="auto"/>
        </w:pBdr>
        <w:ind w:right="-810"/>
      </w:pPr>
      <w:r>
        <w:t xml:space="preserve">This document was approved by the Board of Kodak Alaris Holdings Limited </w:t>
      </w:r>
      <w:r w:rsidRPr="00E34740">
        <w:t xml:space="preserve">on </w:t>
      </w:r>
      <w:r w:rsidR="004E69D2" w:rsidRPr="002E1757">
        <w:t>9</w:t>
      </w:r>
      <w:r w:rsidR="00193E2C" w:rsidRPr="002E1757">
        <w:t xml:space="preserve"> March 202</w:t>
      </w:r>
      <w:r w:rsidR="004E69D2" w:rsidRPr="002E1757">
        <w:t>2</w:t>
      </w:r>
      <w:r>
        <w:t xml:space="preserve"> as being aligned and consistent with the risk management and governance principles of the Group.</w:t>
      </w:r>
    </w:p>
    <w:p w14:paraId="1D14D3B5" w14:textId="77777777" w:rsidR="0054324C" w:rsidRDefault="0054324C" w:rsidP="0054324C">
      <w:pPr>
        <w:ind w:right="-810"/>
      </w:pPr>
    </w:p>
    <w:sectPr w:rsidR="0054324C" w:rsidSect="00423222">
      <w:headerReference w:type="even" r:id="rId11"/>
      <w:headerReference w:type="default" r:id="rId12"/>
      <w:footerReference w:type="even" r:id="rId13"/>
      <w:footerReference w:type="default" r:id="rId14"/>
      <w:headerReference w:type="first" r:id="rId15"/>
      <w:footerReference w:type="first" r:id="rId16"/>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C845" w14:textId="77777777" w:rsidR="00B11CD9" w:rsidRDefault="00B11CD9" w:rsidP="00020FE9">
      <w:r>
        <w:separator/>
      </w:r>
    </w:p>
  </w:endnote>
  <w:endnote w:type="continuationSeparator" w:id="0">
    <w:p w14:paraId="05D5769F" w14:textId="77777777" w:rsidR="00B11CD9" w:rsidRDefault="00B11CD9" w:rsidP="0002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601C" w14:textId="243AC277" w:rsidR="00193E2C" w:rsidRDefault="000F58E1">
    <w:pPr>
      <w:pStyle w:val="Footer"/>
    </w:pPr>
    <w:r>
      <w:rPr>
        <w:noProof/>
      </w:rPr>
      <mc:AlternateContent>
        <mc:Choice Requires="wps">
          <w:drawing>
            <wp:anchor distT="0" distB="0" distL="0" distR="0" simplePos="0" relativeHeight="251659264" behindDoc="0" locked="0" layoutInCell="1" allowOverlap="1" wp14:anchorId="7D43083F" wp14:editId="2C00F088">
              <wp:simplePos x="635" y="635"/>
              <wp:positionH relativeFrom="leftMargin">
                <wp:align>left</wp:align>
              </wp:positionH>
              <wp:positionV relativeFrom="paragraph">
                <wp:posOffset>635</wp:posOffset>
              </wp:positionV>
              <wp:extent cx="443865" cy="443865"/>
              <wp:effectExtent l="0" t="0" r="0" b="16510"/>
              <wp:wrapSquare wrapText="bothSides"/>
              <wp:docPr id="3" name="Text Box 3" descr="Unrestric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D7E024" w14:textId="6DBE98C5" w:rsidR="000F58E1" w:rsidRPr="000F58E1" w:rsidRDefault="000F58E1">
                          <w:pPr>
                            <w:rPr>
                              <w:rFonts w:ascii="Calibri" w:eastAsia="Calibri" w:hAnsi="Calibri" w:cs="Calibri"/>
                              <w:color w:val="000000"/>
                              <w:sz w:val="20"/>
                              <w:szCs w:val="20"/>
                            </w:rPr>
                          </w:pPr>
                          <w:r w:rsidRPr="000F58E1">
                            <w:rPr>
                              <w:rFonts w:ascii="Calibri" w:eastAsia="Calibri" w:hAnsi="Calibri" w:cs="Calibri"/>
                              <w:color w:val="000000"/>
                              <w:sz w:val="20"/>
                              <w:szCs w:val="20"/>
                            </w:rPr>
                            <w:t>Unrestricted</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D43083F" id="_x0000_t202" coordsize="21600,21600" o:spt="202" path="m,l,21600r21600,l21600,xe">
              <v:stroke joinstyle="miter"/>
              <v:path gradientshapeok="t" o:connecttype="rect"/>
            </v:shapetype>
            <v:shape id="Text Box 3" o:spid="_x0000_s1026" type="#_x0000_t202" alt="Unrestricted"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" filled="f" stroked="f">
              <v:textbox style="mso-fit-shape-to-text:t" inset="15pt,0,0,0">
                <w:txbxContent>
                  <w:p w14:paraId="4DD7E024" w14:textId="6DBE98C5" w:rsidR="000F58E1" w:rsidRPr="000F58E1" w:rsidRDefault="000F58E1">
                    <w:pPr>
                      <w:rPr>
                        <w:rFonts w:ascii="Calibri" w:eastAsia="Calibri" w:hAnsi="Calibri" w:cs="Calibri"/>
                        <w:color w:val="000000"/>
                        <w:sz w:val="20"/>
                        <w:szCs w:val="20"/>
                      </w:rPr>
                    </w:pPr>
                    <w:r w:rsidRPr="000F58E1">
                      <w:rPr>
                        <w:rFonts w:ascii="Calibri" w:eastAsia="Calibri" w:hAnsi="Calibri" w:cs="Calibri"/>
                        <w:color w:val="000000"/>
                        <w:sz w:val="20"/>
                        <w:szCs w:val="20"/>
                      </w:rPr>
                      <w:t>Unrestricted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DD91" w14:textId="53E9FC2B" w:rsidR="00ED04BA" w:rsidRPr="00193E2C" w:rsidRDefault="00ED04BA" w:rsidP="00193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3F0E" w14:textId="2B6DF35F" w:rsidR="00193E2C" w:rsidRDefault="000F58E1">
    <w:pPr>
      <w:pStyle w:val="Footer"/>
    </w:pPr>
    <w:r>
      <w:rPr>
        <w:noProof/>
      </w:rPr>
      <mc:AlternateContent>
        <mc:Choice Requires="wps">
          <w:drawing>
            <wp:anchor distT="0" distB="0" distL="0" distR="0" simplePos="0" relativeHeight="251658240" behindDoc="0" locked="0" layoutInCell="1" allowOverlap="1" wp14:anchorId="341E4B25" wp14:editId="23FF26AA">
              <wp:simplePos x="635" y="635"/>
              <wp:positionH relativeFrom="leftMargin">
                <wp:align>left</wp:align>
              </wp:positionH>
              <wp:positionV relativeFrom="paragraph">
                <wp:posOffset>635</wp:posOffset>
              </wp:positionV>
              <wp:extent cx="443865" cy="443865"/>
              <wp:effectExtent l="0" t="0" r="0" b="16510"/>
              <wp:wrapSquare wrapText="bothSides"/>
              <wp:docPr id="2" name="Text Box 2" descr="Unrestric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713D17" w14:textId="62414C82" w:rsidR="000F58E1" w:rsidRPr="000F58E1" w:rsidRDefault="000F58E1">
                          <w:pPr>
                            <w:rPr>
                              <w:rFonts w:ascii="Calibri" w:eastAsia="Calibri" w:hAnsi="Calibri" w:cs="Calibri"/>
                              <w:color w:val="000000"/>
                              <w:sz w:val="20"/>
                              <w:szCs w:val="20"/>
                            </w:rPr>
                          </w:pPr>
                          <w:r w:rsidRPr="000F58E1">
                            <w:rPr>
                              <w:rFonts w:ascii="Calibri" w:eastAsia="Calibri" w:hAnsi="Calibri" w:cs="Calibri"/>
                              <w:color w:val="000000"/>
                              <w:sz w:val="20"/>
                              <w:szCs w:val="20"/>
                            </w:rPr>
                            <w:t>Unrestricted</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41E4B25" id="_x0000_t202" coordsize="21600,21600" o:spt="202" path="m,l,21600r21600,l21600,xe">
              <v:stroke joinstyle="miter"/>
              <v:path gradientshapeok="t" o:connecttype="rect"/>
            </v:shapetype>
            <v:shape id="Text Box 2" o:spid="_x0000_s1027" type="#_x0000_t202" alt="Unrestricted"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" filled="f" stroked="f">
              <v:textbox style="mso-fit-shape-to-text:t" inset="15pt,0,0,0">
                <w:txbxContent>
                  <w:p w14:paraId="1B713D17" w14:textId="62414C82" w:rsidR="000F58E1" w:rsidRPr="000F58E1" w:rsidRDefault="000F58E1">
                    <w:pPr>
                      <w:rPr>
                        <w:rFonts w:ascii="Calibri" w:eastAsia="Calibri" w:hAnsi="Calibri" w:cs="Calibri"/>
                        <w:color w:val="000000"/>
                        <w:sz w:val="20"/>
                        <w:szCs w:val="20"/>
                      </w:rPr>
                    </w:pPr>
                    <w:r w:rsidRPr="000F58E1">
                      <w:rPr>
                        <w:rFonts w:ascii="Calibri" w:eastAsia="Calibri" w:hAnsi="Calibri" w:cs="Calibri"/>
                        <w:color w:val="000000"/>
                        <w:sz w:val="20"/>
                        <w:szCs w:val="20"/>
                      </w:rPr>
                      <w:t>Unrestricted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58C9" w14:textId="77777777" w:rsidR="00B11CD9" w:rsidRDefault="00B11CD9" w:rsidP="00020FE9">
      <w:r>
        <w:separator/>
      </w:r>
    </w:p>
  </w:footnote>
  <w:footnote w:type="continuationSeparator" w:id="0">
    <w:p w14:paraId="5AA8CF61" w14:textId="77777777" w:rsidR="00B11CD9" w:rsidRDefault="00B11CD9" w:rsidP="00020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34A0" w14:textId="77777777" w:rsidR="00193E2C" w:rsidRDefault="00193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F880" w14:textId="1A3F99A2" w:rsidR="00020FE9" w:rsidRDefault="00020FE9" w:rsidP="00C01550">
    <w:pPr>
      <w:pStyle w:val="Header"/>
    </w:pPr>
    <w:r>
      <w:rPr>
        <w:noProof/>
      </w:rPr>
      <w:drawing>
        <wp:anchor distT="0" distB="0" distL="114300" distR="114300" simplePos="0" relativeHeight="251657216" behindDoc="0" locked="0" layoutInCell="1" allowOverlap="1" wp14:anchorId="2E158532" wp14:editId="35670302">
          <wp:simplePos x="0" y="0"/>
          <wp:positionH relativeFrom="column">
            <wp:posOffset>-247015</wp:posOffset>
          </wp:positionH>
          <wp:positionV relativeFrom="paragraph">
            <wp:posOffset>-247015</wp:posOffset>
          </wp:positionV>
          <wp:extent cx="2075688" cy="62179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 letterhead.jpg"/>
                  <pic:cNvPicPr/>
                </pic:nvPicPr>
                <pic:blipFill>
                  <a:blip r:embed="rId1"/>
                  <a:stretch>
                    <a:fillRect/>
                  </a:stretch>
                </pic:blipFill>
                <pic:spPr>
                  <a:xfrm>
                    <a:off x="0" y="0"/>
                    <a:ext cx="2075688" cy="6217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6127" w14:textId="77777777" w:rsidR="00193E2C" w:rsidRDefault="00193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27C4A"/>
    <w:multiLevelType w:val="hybridMultilevel"/>
    <w:tmpl w:val="C818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1F"/>
    <w:rsid w:val="00020FE9"/>
    <w:rsid w:val="000410BE"/>
    <w:rsid w:val="0006107F"/>
    <w:rsid w:val="000F314D"/>
    <w:rsid w:val="000F58E1"/>
    <w:rsid w:val="00107B29"/>
    <w:rsid w:val="0013078F"/>
    <w:rsid w:val="00142B2A"/>
    <w:rsid w:val="00153C2D"/>
    <w:rsid w:val="00193E2C"/>
    <w:rsid w:val="001B11ED"/>
    <w:rsid w:val="001E0C92"/>
    <w:rsid w:val="00220604"/>
    <w:rsid w:val="002E1757"/>
    <w:rsid w:val="003145A6"/>
    <w:rsid w:val="00325081"/>
    <w:rsid w:val="0033431E"/>
    <w:rsid w:val="0034479F"/>
    <w:rsid w:val="00397DE4"/>
    <w:rsid w:val="003F6A2F"/>
    <w:rsid w:val="0040134E"/>
    <w:rsid w:val="00423222"/>
    <w:rsid w:val="004845D0"/>
    <w:rsid w:val="0049583F"/>
    <w:rsid w:val="004C6455"/>
    <w:rsid w:val="004E69D2"/>
    <w:rsid w:val="0054324C"/>
    <w:rsid w:val="00562E18"/>
    <w:rsid w:val="00595725"/>
    <w:rsid w:val="005F352A"/>
    <w:rsid w:val="00677A46"/>
    <w:rsid w:val="00694FC5"/>
    <w:rsid w:val="006A2910"/>
    <w:rsid w:val="006E6A4B"/>
    <w:rsid w:val="007264B0"/>
    <w:rsid w:val="00764A56"/>
    <w:rsid w:val="007F3F46"/>
    <w:rsid w:val="007F76C0"/>
    <w:rsid w:val="00844438"/>
    <w:rsid w:val="00876E87"/>
    <w:rsid w:val="008807D0"/>
    <w:rsid w:val="008C4609"/>
    <w:rsid w:val="00943ED0"/>
    <w:rsid w:val="00983D90"/>
    <w:rsid w:val="009C062E"/>
    <w:rsid w:val="009C732A"/>
    <w:rsid w:val="009D3AFB"/>
    <w:rsid w:val="009E4DDC"/>
    <w:rsid w:val="00A0629F"/>
    <w:rsid w:val="00A17EE2"/>
    <w:rsid w:val="00A20CF1"/>
    <w:rsid w:val="00A6201C"/>
    <w:rsid w:val="00AA5A73"/>
    <w:rsid w:val="00AD687A"/>
    <w:rsid w:val="00B11CD9"/>
    <w:rsid w:val="00B3235D"/>
    <w:rsid w:val="00B37DCE"/>
    <w:rsid w:val="00BB7FC0"/>
    <w:rsid w:val="00BE49F6"/>
    <w:rsid w:val="00C01550"/>
    <w:rsid w:val="00C95D6E"/>
    <w:rsid w:val="00CF1518"/>
    <w:rsid w:val="00D13D1F"/>
    <w:rsid w:val="00D62FDB"/>
    <w:rsid w:val="00D828D6"/>
    <w:rsid w:val="00DA1024"/>
    <w:rsid w:val="00E03F63"/>
    <w:rsid w:val="00E14369"/>
    <w:rsid w:val="00E34740"/>
    <w:rsid w:val="00E53475"/>
    <w:rsid w:val="00E657D6"/>
    <w:rsid w:val="00E76299"/>
    <w:rsid w:val="00ED04BA"/>
    <w:rsid w:val="00F61FBB"/>
    <w:rsid w:val="00FA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A02BC"/>
  <w15:docId w15:val="{9618050B-8B08-9848-B5BD-4B2C170A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D1F"/>
    <w:rPr>
      <w:rFonts w:ascii="Lucida Grande" w:hAnsi="Lucida Grande" w:cs="Lucida Grande"/>
      <w:sz w:val="18"/>
      <w:szCs w:val="18"/>
    </w:rPr>
  </w:style>
  <w:style w:type="paragraph" w:styleId="Header">
    <w:name w:val="header"/>
    <w:basedOn w:val="Normal"/>
    <w:link w:val="HeaderChar"/>
    <w:uiPriority w:val="99"/>
    <w:unhideWhenUsed/>
    <w:rsid w:val="00020FE9"/>
    <w:pPr>
      <w:tabs>
        <w:tab w:val="center" w:pos="4320"/>
        <w:tab w:val="right" w:pos="8640"/>
      </w:tabs>
    </w:pPr>
  </w:style>
  <w:style w:type="character" w:customStyle="1" w:styleId="HeaderChar">
    <w:name w:val="Header Char"/>
    <w:basedOn w:val="DefaultParagraphFont"/>
    <w:link w:val="Header"/>
    <w:uiPriority w:val="99"/>
    <w:rsid w:val="00020FE9"/>
  </w:style>
  <w:style w:type="paragraph" w:styleId="Footer">
    <w:name w:val="footer"/>
    <w:basedOn w:val="Normal"/>
    <w:link w:val="FooterChar"/>
    <w:uiPriority w:val="99"/>
    <w:unhideWhenUsed/>
    <w:rsid w:val="00020FE9"/>
    <w:pPr>
      <w:tabs>
        <w:tab w:val="center" w:pos="4320"/>
        <w:tab w:val="right" w:pos="8640"/>
      </w:tabs>
    </w:pPr>
  </w:style>
  <w:style w:type="character" w:customStyle="1" w:styleId="FooterChar">
    <w:name w:val="Footer Char"/>
    <w:basedOn w:val="DefaultParagraphFont"/>
    <w:link w:val="Footer"/>
    <w:uiPriority w:val="99"/>
    <w:rsid w:val="00020FE9"/>
  </w:style>
  <w:style w:type="paragraph" w:styleId="ListParagraph">
    <w:name w:val="List Paragraph"/>
    <w:basedOn w:val="Normal"/>
    <w:uiPriority w:val="34"/>
    <w:qFormat/>
    <w:rsid w:val="008807D0"/>
    <w:pPr>
      <w:ind w:left="720"/>
      <w:contextualSpacing/>
    </w:pPr>
  </w:style>
  <w:style w:type="character" w:styleId="CommentReference">
    <w:name w:val="annotation reference"/>
    <w:basedOn w:val="DefaultParagraphFont"/>
    <w:uiPriority w:val="99"/>
    <w:semiHidden/>
    <w:unhideWhenUsed/>
    <w:rsid w:val="00595725"/>
    <w:rPr>
      <w:sz w:val="16"/>
      <w:szCs w:val="16"/>
    </w:rPr>
  </w:style>
  <w:style w:type="paragraph" w:styleId="CommentText">
    <w:name w:val="annotation text"/>
    <w:basedOn w:val="Normal"/>
    <w:link w:val="CommentTextChar"/>
    <w:uiPriority w:val="99"/>
    <w:semiHidden/>
    <w:unhideWhenUsed/>
    <w:rsid w:val="00595725"/>
    <w:rPr>
      <w:sz w:val="20"/>
      <w:szCs w:val="20"/>
    </w:rPr>
  </w:style>
  <w:style w:type="character" w:customStyle="1" w:styleId="CommentTextChar">
    <w:name w:val="Comment Text Char"/>
    <w:basedOn w:val="DefaultParagraphFont"/>
    <w:link w:val="CommentText"/>
    <w:uiPriority w:val="99"/>
    <w:semiHidden/>
    <w:rsid w:val="00595725"/>
    <w:rPr>
      <w:sz w:val="20"/>
      <w:szCs w:val="20"/>
      <w:lang w:val="en-GB"/>
    </w:rPr>
  </w:style>
  <w:style w:type="paragraph" w:styleId="CommentSubject">
    <w:name w:val="annotation subject"/>
    <w:basedOn w:val="CommentText"/>
    <w:next w:val="CommentText"/>
    <w:link w:val="CommentSubjectChar"/>
    <w:uiPriority w:val="99"/>
    <w:semiHidden/>
    <w:unhideWhenUsed/>
    <w:rsid w:val="00595725"/>
    <w:rPr>
      <w:b/>
      <w:bCs/>
    </w:rPr>
  </w:style>
  <w:style w:type="character" w:customStyle="1" w:styleId="CommentSubjectChar">
    <w:name w:val="Comment Subject Char"/>
    <w:basedOn w:val="CommentTextChar"/>
    <w:link w:val="CommentSubject"/>
    <w:uiPriority w:val="99"/>
    <w:semiHidden/>
    <w:rsid w:val="0059572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40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FF6D8D574A714B98C1F346ECBF2B4A" ma:contentTypeVersion="4" ma:contentTypeDescription="Create a new document." ma:contentTypeScope="" ma:versionID="0fe392bc71cc57fe828e411963fdc8ec">
  <xsd:schema xmlns:xsd="http://www.w3.org/2001/XMLSchema" xmlns:xs="http://www.w3.org/2001/XMLSchema" xmlns:p="http://schemas.microsoft.com/office/2006/metadata/properties" xmlns:ns3="0ff203c7-11e6-45af-a5ae-5a59c56df5f0" targetNamespace="http://schemas.microsoft.com/office/2006/metadata/properties" ma:root="true" ma:fieldsID="54cc046d36ab4aa56c51556b8c564736" ns3:_="">
    <xsd:import namespace="0ff203c7-11e6-45af-a5ae-5a59c56df5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203c7-11e6-45af-a5ae-5a59c56df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1BC9D-E1F3-4A1E-9655-C612A15ED960}">
  <ds:schemaRefs>
    <ds:schemaRef ds:uri="http://schemas.openxmlformats.org/officeDocument/2006/bibliography"/>
  </ds:schemaRefs>
</ds:datastoreItem>
</file>

<file path=customXml/itemProps2.xml><?xml version="1.0" encoding="utf-8"?>
<ds:datastoreItem xmlns:ds="http://schemas.openxmlformats.org/officeDocument/2006/customXml" ds:itemID="{6DC140AB-E2A6-4EF1-9F06-00B725965C2C}">
  <ds:schemaRefs>
    <ds:schemaRef ds:uri="http://schemas.microsoft.com/office/2006/metadata/properties"/>
  </ds:schemaRefs>
</ds:datastoreItem>
</file>

<file path=customXml/itemProps3.xml><?xml version="1.0" encoding="utf-8"?>
<ds:datastoreItem xmlns:ds="http://schemas.openxmlformats.org/officeDocument/2006/customXml" ds:itemID="{6DC3D869-1C1E-4886-998A-E9FBFB9DB90A}">
  <ds:schemaRefs>
    <ds:schemaRef ds:uri="http://schemas.microsoft.com/sharepoint/v3/contenttype/forms"/>
  </ds:schemaRefs>
</ds:datastoreItem>
</file>

<file path=customXml/itemProps4.xml><?xml version="1.0" encoding="utf-8"?>
<ds:datastoreItem xmlns:ds="http://schemas.openxmlformats.org/officeDocument/2006/customXml" ds:itemID="{B1D188B6-1724-4DC4-9501-FD1D7ECAB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203c7-11e6-45af-a5ae-5a59c56df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Schoeffler</dc:creator>
  <cp:keywords/>
  <dc:description/>
  <cp:lastModifiedBy>Diane I Gardner</cp:lastModifiedBy>
  <cp:revision>2</cp:revision>
  <cp:lastPrinted>2020-02-20T19:09:00Z</cp:lastPrinted>
  <dcterms:created xsi:type="dcterms:W3CDTF">2022-03-28T18:33:00Z</dcterms:created>
  <dcterms:modified xsi:type="dcterms:W3CDTF">2022-03-28T18:33:00Z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0x0101006AFF6D8D574A714B98C1F346ECBF2B4A</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Unrestricted</vt:lpwstr>
  </property>
  <property fmtid="{D5CDD505-2E9C-101B-9397-08002B2CF9AE}" pid="6" name="MSIP_Label_7b56950d-76d0-4ebf-86f9-29b4df516d8d_Enabled">
    <vt:lpwstr>true</vt:lpwstr>
  </property>
  <property fmtid="{D5CDD505-2E9C-101B-9397-08002B2CF9AE}" pid="7" name="MSIP_Label_7b56950d-76d0-4ebf-86f9-29b4df516d8d_SetDate">
    <vt:lpwstr>2022-02-22T21:11:26Z</vt:lpwstr>
  </property>
  <property fmtid="{D5CDD505-2E9C-101B-9397-08002B2CF9AE}" pid="8" name="MSIP_Label_7b56950d-76d0-4ebf-86f9-29b4df516d8d_Method">
    <vt:lpwstr>Privileged</vt:lpwstr>
  </property>
  <property fmtid="{D5CDD505-2E9C-101B-9397-08002B2CF9AE}" pid="9" name="MSIP_Label_7b56950d-76d0-4ebf-86f9-29b4df516d8d_Name">
    <vt:lpwstr>Internal</vt:lpwstr>
  </property>
  <property fmtid="{D5CDD505-2E9C-101B-9397-08002B2CF9AE}" pid="10" name="MSIP_Label_7b56950d-76d0-4ebf-86f9-29b4df516d8d_SiteId">
    <vt:lpwstr>d29b7a9b-6edb-4720-99a8-3c5c6c3eeeb0</vt:lpwstr>
  </property>
  <property fmtid="{D5CDD505-2E9C-101B-9397-08002B2CF9AE}" pid="11" name="MSIP_Label_7b56950d-76d0-4ebf-86f9-29b4df516d8d_ActionId">
    <vt:lpwstr>55bd20b0-5b4b-4b06-b3ca-5c97cc8dd401</vt:lpwstr>
  </property>
  <property fmtid="{D5CDD505-2E9C-101B-9397-08002B2CF9AE}" pid="12" name="MSIP_Label_7b56950d-76d0-4ebf-86f9-29b4df516d8d_ContentBits">
    <vt:lpwstr>2</vt:lpwstr>
  </property>
</Properties>
</file>